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0138" w:type="dxa"/>
        <w:tblBorders>
          <w:top w:val="single" w:sz="4" w:space="0" w:color="auto"/>
          <w:bottom w:val="single" w:sz="4" w:space="0" w:color="auto"/>
          <w:insideH w:val="single" w:sz="4" w:space="0" w:color="auto"/>
          <w:insideV w:val="single" w:sz="4" w:space="0" w:color="auto"/>
        </w:tblBorders>
        <w:tblLayout w:type="fixed"/>
        <w:tblCellMar>
          <w:left w:w="58" w:type="dxa"/>
          <w:right w:w="58" w:type="dxa"/>
        </w:tblCellMar>
        <w:tblLook w:val="01E0"/>
      </w:tblPr>
      <w:tblGrid>
        <w:gridCol w:w="3298"/>
        <w:gridCol w:w="270"/>
        <w:gridCol w:w="990"/>
        <w:gridCol w:w="1710"/>
        <w:gridCol w:w="3780"/>
        <w:gridCol w:w="90"/>
      </w:tblGrid>
      <w:tr w:rsidR="00B36829" w:rsidRPr="00901350" w:rsidTr="00632C6F">
        <w:tc>
          <w:tcPr>
            <w:tcW w:w="4558" w:type="dxa"/>
            <w:gridSpan w:val="3"/>
          </w:tcPr>
          <w:p w:rsidR="00B36829" w:rsidRPr="00901350" w:rsidRDefault="00B36829" w:rsidP="005B6586">
            <w:pPr>
              <w:spacing w:before="120" w:after="120"/>
              <w:rPr>
                <w:rFonts w:asciiTheme="majorHAnsi" w:hAnsiTheme="majorHAnsi"/>
                <w:b/>
              </w:rPr>
            </w:pPr>
            <w:r w:rsidRPr="00901350">
              <w:rPr>
                <w:rFonts w:asciiTheme="majorHAnsi" w:hAnsiTheme="majorHAnsi"/>
                <w:b/>
              </w:rPr>
              <w:t>Introduction</w:t>
            </w:r>
          </w:p>
          <w:p w:rsidR="00B36829" w:rsidRPr="00901350" w:rsidRDefault="00B36829" w:rsidP="00571378">
            <w:pPr>
              <w:pStyle w:val="NormalWeb"/>
              <w:spacing w:after="0" w:afterAutospacing="0"/>
              <w:rPr>
                <w:rFonts w:asciiTheme="majorHAnsi" w:hAnsiTheme="majorHAnsi" w:cs="Arial"/>
              </w:rPr>
            </w:pPr>
            <w:r w:rsidRPr="00901350">
              <w:rPr>
                <w:rFonts w:asciiTheme="majorHAnsi" w:hAnsiTheme="majorHAnsi" w:cs="Arial"/>
              </w:rPr>
              <w:t>Magnetic resonance imaging (MRI) is a noninvasive medical test that helps physicians diagnose and treat medical conditions.</w:t>
            </w:r>
          </w:p>
          <w:p w:rsidR="00B36829" w:rsidRPr="00901350" w:rsidRDefault="00B36829" w:rsidP="00571378">
            <w:pPr>
              <w:pStyle w:val="NormalWeb"/>
              <w:spacing w:before="0" w:beforeAutospacing="0" w:after="0" w:afterAutospacing="0"/>
              <w:rPr>
                <w:rFonts w:asciiTheme="majorHAnsi" w:hAnsiTheme="majorHAnsi" w:cs="Arial"/>
              </w:rPr>
            </w:pPr>
            <w:r w:rsidRPr="00901350">
              <w:rPr>
                <w:rFonts w:asciiTheme="majorHAnsi" w:hAnsiTheme="majorHAnsi" w:cs="Arial"/>
              </w:rPr>
              <w:br/>
              <w:t>MRI imaging uses a powerful magnetic field, radio frequency pulses and a computer to produce detailed pictures of organs, soft tissues, bone and virtually all other internal body structures. The images can then be examined on a computer monitor, printed or copied to CD. MRI does not use ionizing radiation (x-rays).</w:t>
            </w:r>
          </w:p>
          <w:p w:rsidR="00B36829" w:rsidRPr="00901350" w:rsidRDefault="00B36829" w:rsidP="00571378">
            <w:pPr>
              <w:pStyle w:val="NormalWeb"/>
              <w:spacing w:before="0" w:beforeAutospacing="0" w:after="0" w:afterAutospacing="0"/>
              <w:rPr>
                <w:rFonts w:asciiTheme="majorHAnsi" w:hAnsiTheme="majorHAnsi" w:cs="Arial"/>
              </w:rPr>
            </w:pPr>
          </w:p>
          <w:p w:rsidR="00B36829" w:rsidRPr="00901350" w:rsidRDefault="00B36829" w:rsidP="005B6586">
            <w:pPr>
              <w:jc w:val="right"/>
              <w:rPr>
                <w:rFonts w:asciiTheme="majorHAnsi" w:hAnsiTheme="majorHAnsi"/>
                <w:b/>
              </w:rPr>
            </w:pPr>
          </w:p>
        </w:tc>
        <w:tc>
          <w:tcPr>
            <w:tcW w:w="5580" w:type="dxa"/>
            <w:gridSpan w:val="3"/>
          </w:tcPr>
          <w:p w:rsidR="00B36829" w:rsidRPr="00901350" w:rsidRDefault="00B36829" w:rsidP="005B6586">
            <w:pPr>
              <w:jc w:val="center"/>
              <w:rPr>
                <w:rFonts w:asciiTheme="majorHAnsi" w:hAnsiTheme="majorHAnsi"/>
                <w:color w:val="000000"/>
              </w:rPr>
            </w:pPr>
          </w:p>
          <w:p w:rsidR="00B36829" w:rsidRPr="00901350" w:rsidRDefault="00882B40" w:rsidP="005B6586">
            <w:pPr>
              <w:jc w:val="center"/>
              <w:rPr>
                <w:rFonts w:asciiTheme="majorHAnsi" w:hAnsiTheme="majorHAnsi"/>
                <w:color w:val="333333"/>
              </w:rPr>
            </w:pPr>
            <w:r w:rsidRPr="00882B40">
              <w:rPr>
                <w:rFonts w:asciiTheme="majorHAnsi" w:hAnsiTheme="majorHAnsi"/>
                <w:noProof/>
                <w:color w:val="33333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MRI scans" style="width:240pt;height:192pt;visibility:visible">
                  <v:imagedata r:id="rId7" o:title=""/>
                </v:shape>
              </w:pict>
            </w:r>
          </w:p>
          <w:p w:rsidR="00B36829" w:rsidRPr="00901350" w:rsidRDefault="00B36829" w:rsidP="005B6586">
            <w:pPr>
              <w:jc w:val="center"/>
              <w:rPr>
                <w:rFonts w:asciiTheme="majorHAnsi" w:hAnsiTheme="majorHAnsi"/>
                <w:b/>
                <w:color w:val="333333"/>
              </w:rPr>
            </w:pPr>
            <w:r w:rsidRPr="00901350">
              <w:rPr>
                <w:rFonts w:asciiTheme="majorHAnsi" w:hAnsiTheme="majorHAnsi"/>
                <w:b/>
                <w:color w:val="333333"/>
              </w:rPr>
              <w:t>Figure 1</w:t>
            </w:r>
          </w:p>
          <w:p w:rsidR="00B36829" w:rsidRPr="00901350" w:rsidRDefault="00B36829" w:rsidP="005B6586">
            <w:pPr>
              <w:jc w:val="center"/>
              <w:rPr>
                <w:rFonts w:asciiTheme="majorHAnsi" w:hAnsiTheme="majorHAnsi"/>
                <w:color w:val="333333"/>
              </w:rPr>
            </w:pPr>
          </w:p>
          <w:p w:rsidR="00B36829" w:rsidRPr="00901350" w:rsidRDefault="00B36829" w:rsidP="005249BA">
            <w:pPr>
              <w:jc w:val="right"/>
              <w:rPr>
                <w:rFonts w:asciiTheme="majorHAnsi" w:hAnsiTheme="majorHAnsi"/>
                <w:b/>
                <w:sz w:val="18"/>
                <w:szCs w:val="18"/>
              </w:rPr>
            </w:pPr>
            <w:r w:rsidRPr="00901350">
              <w:rPr>
                <w:rFonts w:asciiTheme="majorHAnsi" w:hAnsiTheme="majorHAnsi"/>
                <w:b/>
                <w:color w:val="333333"/>
                <w:sz w:val="18"/>
              </w:rPr>
              <w:t>Source:  assets.aarp.org</w:t>
            </w:r>
          </w:p>
        </w:tc>
      </w:tr>
      <w:tr w:rsidR="00B36829" w:rsidRPr="00901350" w:rsidTr="00927436">
        <w:tc>
          <w:tcPr>
            <w:tcW w:w="3568" w:type="dxa"/>
            <w:gridSpan w:val="2"/>
          </w:tcPr>
          <w:p w:rsidR="00B36829" w:rsidRPr="00901350" w:rsidRDefault="00B36829" w:rsidP="005B6586">
            <w:pPr>
              <w:spacing w:before="120" w:after="120"/>
              <w:rPr>
                <w:rFonts w:asciiTheme="majorHAnsi" w:hAnsiTheme="majorHAnsi"/>
              </w:rPr>
            </w:pPr>
          </w:p>
          <w:p w:rsidR="00B36829" w:rsidRPr="00901350" w:rsidRDefault="00B36829" w:rsidP="005B6586">
            <w:pPr>
              <w:spacing w:before="120" w:after="120"/>
              <w:rPr>
                <w:rFonts w:asciiTheme="majorHAnsi" w:hAnsiTheme="majorHAnsi"/>
              </w:rPr>
            </w:pPr>
            <w:r w:rsidRPr="00901350">
              <w:rPr>
                <w:rFonts w:asciiTheme="majorHAnsi" w:hAnsiTheme="majorHAnsi"/>
              </w:rPr>
              <w:t xml:space="preserve">Comparing the intensity of one part of an image to another part (of known density) provides an indication of the density of each the unknown portions of the image.  In the Figure 2, the unknown density of the liver is compared to the density of the Para spinal muscle (the known value). </w:t>
            </w:r>
          </w:p>
          <w:p w:rsidR="00B36829" w:rsidRPr="00901350" w:rsidRDefault="00B36829" w:rsidP="005B6586">
            <w:pPr>
              <w:spacing w:before="120" w:after="120"/>
              <w:rPr>
                <w:rFonts w:asciiTheme="majorHAnsi" w:hAnsiTheme="majorHAnsi"/>
              </w:rPr>
            </w:pPr>
          </w:p>
          <w:p w:rsidR="00B36829" w:rsidRPr="00901350" w:rsidRDefault="00B36829" w:rsidP="005B6586">
            <w:pPr>
              <w:spacing w:before="120" w:after="120"/>
              <w:rPr>
                <w:rFonts w:asciiTheme="majorHAnsi" w:hAnsiTheme="majorHAnsi"/>
              </w:rPr>
            </w:pPr>
            <w:r w:rsidRPr="00901350">
              <w:rPr>
                <w:rFonts w:asciiTheme="majorHAnsi" w:hAnsiTheme="majorHAnsi"/>
              </w:rPr>
              <w:t>See further</w:t>
            </w:r>
            <w:r w:rsidRPr="00901350">
              <w:rPr>
                <w:rFonts w:asciiTheme="majorHAnsi" w:hAnsiTheme="majorHAnsi"/>
              </w:rPr>
              <w:br/>
            </w:r>
            <w:r w:rsidRPr="00901350">
              <w:rPr>
                <w:rFonts w:asciiTheme="majorHAnsi" w:hAnsiTheme="majorHAnsi"/>
                <w:u w:val="single"/>
              </w:rPr>
              <w:t>Hemochromatosis</w:t>
            </w:r>
            <w:r w:rsidRPr="00901350">
              <w:rPr>
                <w:rFonts w:asciiTheme="majorHAnsi" w:hAnsiTheme="majorHAnsi"/>
              </w:rPr>
              <w:t xml:space="preserve"> by James Barton and Corwin Edwards</w:t>
            </w:r>
          </w:p>
          <w:p w:rsidR="00B36829" w:rsidRPr="00901350" w:rsidRDefault="00B36829" w:rsidP="005B6586">
            <w:pPr>
              <w:spacing w:before="120" w:after="120"/>
              <w:rPr>
                <w:rFonts w:asciiTheme="majorHAnsi" w:hAnsiTheme="majorHAnsi"/>
              </w:rPr>
            </w:pPr>
          </w:p>
          <w:p w:rsidR="00B36829" w:rsidRPr="00901350" w:rsidRDefault="00B36829" w:rsidP="005B6586">
            <w:pPr>
              <w:spacing w:before="120" w:after="120"/>
              <w:rPr>
                <w:rFonts w:asciiTheme="majorHAnsi" w:hAnsiTheme="majorHAnsi"/>
              </w:rPr>
            </w:pPr>
            <w:r w:rsidRPr="00901350">
              <w:rPr>
                <w:rFonts w:asciiTheme="majorHAnsi" w:hAnsiTheme="majorHAnsi"/>
              </w:rPr>
              <w:t>See:  7.5 MRI of 4 Livers</w:t>
            </w:r>
          </w:p>
          <w:p w:rsidR="00B36829" w:rsidRPr="00901350" w:rsidRDefault="00B36829" w:rsidP="005B6586">
            <w:pPr>
              <w:spacing w:before="120" w:after="120"/>
              <w:rPr>
                <w:rFonts w:asciiTheme="majorHAnsi" w:hAnsiTheme="majorHAnsi"/>
              </w:rPr>
            </w:pPr>
          </w:p>
          <w:p w:rsidR="00B36829" w:rsidRPr="00901350" w:rsidRDefault="00B36829" w:rsidP="005249BA">
            <w:pPr>
              <w:spacing w:before="120" w:after="120"/>
              <w:rPr>
                <w:rFonts w:asciiTheme="majorHAnsi" w:hAnsiTheme="majorHAnsi"/>
                <w:b/>
              </w:rPr>
            </w:pPr>
          </w:p>
        </w:tc>
        <w:tc>
          <w:tcPr>
            <w:tcW w:w="6570" w:type="dxa"/>
            <w:gridSpan w:val="4"/>
          </w:tcPr>
          <w:p w:rsidR="00B36829" w:rsidRPr="00901350" w:rsidRDefault="00882B40" w:rsidP="005B6586">
            <w:pPr>
              <w:jc w:val="center"/>
              <w:rPr>
                <w:rFonts w:asciiTheme="majorHAnsi" w:hAnsiTheme="majorHAnsi"/>
              </w:rPr>
            </w:pPr>
            <w:hyperlink r:id="rId8" w:history="1">
              <w:r w:rsidR="00927436" w:rsidRPr="00882B40">
                <w:rPr>
                  <w:rFonts w:asciiTheme="majorHAnsi" w:hAnsiTheme="majorHAnsi"/>
                  <w:noProof/>
                  <w:color w:val="0000FF"/>
                </w:rPr>
                <w:pict>
                  <v:shape id="Picture 2" o:spid="_x0000_i1026" type="#_x0000_t75" alt="http://tbn1.google.com/images?q=tbn:wXLFbrAiWSLsHM:http://oernst.f5lvg.free.fr/liver/image hemoc 4.jpg" href="http://images.google.com/imgres?imgurl=http://oernst.f5lvg.free.fr/liver/image hemoc 4.jpg&amp;imgrefurl=http://oernst.f5lvg.free.fr/liver/iron.html&amp;usg=__YIMd4DP1ftk6pgys06ILsEKgCZI=&amp;h=643&amp;w=824&amp;sz=231&amp;hl=en&amp;start=1&amp;sig2=oy2rMfaNgFHVdNLSKTcRrw&amp;tbnid=wXLFbrAiWSLsHM:&amp;tbnh=112&amp;tbnw=144&amp;prev=/images?q=signal+intensity+ratio+liver&amp;gbv=2&amp;hl=en&amp;ei=0aTfSaLsH46HmQeOx5m1" style="width:307.5pt;height:236.25pt;visibility:visible" o:button="t">
                    <v:fill o:detectmouseclick="t"/>
                    <v:imagedata r:id="rId9" o:title=""/>
                  </v:shape>
                </w:pict>
              </w:r>
            </w:hyperlink>
          </w:p>
          <w:p w:rsidR="00B36829" w:rsidRPr="00901350" w:rsidRDefault="00B36829" w:rsidP="005B6586">
            <w:pPr>
              <w:jc w:val="center"/>
              <w:rPr>
                <w:rFonts w:asciiTheme="majorHAnsi" w:hAnsiTheme="majorHAnsi"/>
              </w:rPr>
            </w:pPr>
          </w:p>
          <w:p w:rsidR="00B36829" w:rsidRPr="00901350" w:rsidRDefault="00B36829" w:rsidP="005B6586">
            <w:pPr>
              <w:jc w:val="center"/>
              <w:rPr>
                <w:rFonts w:asciiTheme="majorHAnsi" w:hAnsiTheme="majorHAnsi"/>
                <w:b/>
                <w:color w:val="000000"/>
              </w:rPr>
            </w:pPr>
            <w:r w:rsidRPr="00901350">
              <w:rPr>
                <w:rFonts w:asciiTheme="majorHAnsi" w:hAnsiTheme="majorHAnsi"/>
                <w:b/>
              </w:rPr>
              <w:t>Figure 2</w:t>
            </w:r>
          </w:p>
          <w:p w:rsidR="00B36829" w:rsidRPr="00901350" w:rsidRDefault="00B36829" w:rsidP="00571378">
            <w:pPr>
              <w:rPr>
                <w:rFonts w:asciiTheme="majorHAnsi" w:hAnsiTheme="majorHAnsi"/>
                <w:b/>
                <w:color w:val="000000"/>
              </w:rPr>
            </w:pPr>
          </w:p>
          <w:p w:rsidR="00B36829" w:rsidRPr="00901350" w:rsidRDefault="00B36829" w:rsidP="005249BA">
            <w:pPr>
              <w:jc w:val="right"/>
              <w:rPr>
                <w:rFonts w:asciiTheme="majorHAnsi" w:hAnsiTheme="majorHAnsi"/>
                <w:b/>
                <w:color w:val="000000"/>
              </w:rPr>
            </w:pPr>
            <w:r w:rsidRPr="00901350">
              <w:rPr>
                <w:rFonts w:asciiTheme="majorHAnsi" w:hAnsiTheme="majorHAnsi"/>
                <w:b/>
                <w:color w:val="000000"/>
              </w:rPr>
              <w:t>Source:  oernst.f5lvg.free.fr</w:t>
            </w:r>
          </w:p>
        </w:tc>
      </w:tr>
      <w:tr w:rsidR="00B36829" w:rsidRPr="00901350" w:rsidTr="00632C6F">
        <w:tc>
          <w:tcPr>
            <w:tcW w:w="3298" w:type="dxa"/>
          </w:tcPr>
          <w:p w:rsidR="00B36829" w:rsidRPr="00901350" w:rsidRDefault="00B36829" w:rsidP="00594E21">
            <w:pPr>
              <w:spacing w:before="120" w:after="120" w:line="260" w:lineRule="exact"/>
              <w:rPr>
                <w:rFonts w:asciiTheme="majorHAnsi" w:hAnsiTheme="majorHAnsi"/>
              </w:rPr>
            </w:pPr>
            <w:r w:rsidRPr="00901350">
              <w:rPr>
                <w:rFonts w:asciiTheme="majorHAnsi" w:hAnsiTheme="majorHAnsi"/>
              </w:rPr>
              <w:lastRenderedPageBreak/>
              <w:t xml:space="preserve">A technician administers the test and sends the results to physicians who analyze the results. </w:t>
            </w:r>
          </w:p>
          <w:p w:rsidR="00B36829" w:rsidRPr="00901350" w:rsidRDefault="00B36829" w:rsidP="00594E21">
            <w:pPr>
              <w:spacing w:before="120" w:after="120" w:line="260" w:lineRule="exact"/>
              <w:rPr>
                <w:rFonts w:asciiTheme="majorHAnsi" w:hAnsiTheme="majorHAnsi"/>
              </w:rPr>
            </w:pPr>
            <w:r w:rsidRPr="00901350">
              <w:rPr>
                <w:rFonts w:asciiTheme="majorHAnsi" w:hAnsiTheme="majorHAnsi"/>
              </w:rPr>
              <w:t xml:space="preserve">According to Payscale.com, the hourly rate of pay for MRI technicians increases with experience.  </w:t>
            </w:r>
          </w:p>
          <w:p w:rsidR="00B36829" w:rsidRPr="00901350" w:rsidRDefault="00B36829" w:rsidP="00632C6F">
            <w:pPr>
              <w:numPr>
                <w:ilvl w:val="0"/>
                <w:numId w:val="22"/>
              </w:numPr>
              <w:spacing w:before="120" w:after="120" w:line="260" w:lineRule="exact"/>
              <w:rPr>
                <w:rFonts w:asciiTheme="majorHAnsi" w:hAnsiTheme="majorHAnsi"/>
              </w:rPr>
            </w:pPr>
            <w:r w:rsidRPr="00901350">
              <w:rPr>
                <w:rFonts w:asciiTheme="majorHAnsi" w:hAnsiTheme="majorHAnsi"/>
              </w:rPr>
              <w:t>Find the ratio for the pay of MRI technicians with 20+ years of experience compared to those with 10-19 years of experience.  Compare that with the ratio of 1-4 years to less than 1-year.</w:t>
            </w:r>
          </w:p>
          <w:p w:rsidR="00B36829" w:rsidRPr="00901350" w:rsidRDefault="00B36829" w:rsidP="00927436">
            <w:pPr>
              <w:rPr>
                <w:rFonts w:asciiTheme="majorHAnsi" w:hAnsiTheme="majorHAnsi"/>
                <w:b/>
              </w:rPr>
            </w:pPr>
          </w:p>
        </w:tc>
        <w:tc>
          <w:tcPr>
            <w:tcW w:w="6840" w:type="dxa"/>
            <w:gridSpan w:val="5"/>
          </w:tcPr>
          <w:p w:rsidR="00B36829" w:rsidRPr="00901350" w:rsidRDefault="00882B40" w:rsidP="005B6586">
            <w:pPr>
              <w:rPr>
                <w:rFonts w:asciiTheme="majorHAnsi" w:hAnsiTheme="majorHAnsi"/>
              </w:rPr>
            </w:pPr>
            <w:r w:rsidRPr="00882B40">
              <w:rPr>
                <w:rFonts w:asciiTheme="majorHAnsi" w:hAnsiTheme="majorHAnsi" w:cs="Tahoma"/>
                <w:noProof/>
                <w:color w:val="333333"/>
                <w:spacing w:val="2"/>
                <w:sz w:val="18"/>
                <w:szCs w:val="18"/>
              </w:rPr>
              <w:pict>
                <v:shape id="ctl00_mainContent_topReport_reportChart" o:spid="_x0000_i1027" type="#_x0000_t75" alt="Median Hourly Rate by Years Experience - Job: Magnetic Resonance Imaging (MRI) Technologist (United States)" style="width:5in;height:218.25pt;visibility:visible">
                  <v:imagedata r:id="rId10" o:title=""/>
                </v:shape>
              </w:pict>
            </w:r>
          </w:p>
          <w:p w:rsidR="00B36829" w:rsidRDefault="00B36829" w:rsidP="00632C6F">
            <w:pPr>
              <w:jc w:val="center"/>
              <w:rPr>
                <w:rFonts w:asciiTheme="majorHAnsi" w:hAnsiTheme="majorHAnsi"/>
                <w:b/>
              </w:rPr>
            </w:pPr>
            <w:r w:rsidRPr="00901350">
              <w:rPr>
                <w:rFonts w:asciiTheme="majorHAnsi" w:hAnsiTheme="majorHAnsi"/>
                <w:b/>
              </w:rPr>
              <w:t>Figure 3</w:t>
            </w:r>
          </w:p>
          <w:p w:rsidR="00927436" w:rsidRPr="00901350" w:rsidRDefault="00927436" w:rsidP="00632C6F">
            <w:pPr>
              <w:jc w:val="center"/>
              <w:rPr>
                <w:rFonts w:asciiTheme="majorHAnsi" w:hAnsiTheme="majorHAnsi"/>
                <w:b/>
              </w:rPr>
            </w:pPr>
          </w:p>
          <w:p w:rsidR="00B36829" w:rsidRPr="00901350" w:rsidRDefault="00B36829" w:rsidP="00632C6F">
            <w:pPr>
              <w:jc w:val="right"/>
              <w:rPr>
                <w:rFonts w:asciiTheme="majorHAnsi" w:hAnsiTheme="majorHAnsi" w:cs="Tahoma"/>
                <w:color w:val="333333"/>
                <w:spacing w:val="2"/>
                <w:sz w:val="18"/>
                <w:szCs w:val="18"/>
              </w:rPr>
            </w:pPr>
            <w:r w:rsidRPr="00901350">
              <w:rPr>
                <w:rFonts w:asciiTheme="majorHAnsi" w:hAnsiTheme="majorHAnsi"/>
                <w:b/>
                <w:sz w:val="18"/>
                <w:szCs w:val="18"/>
              </w:rPr>
              <w:t>Source: www.payscale.com</w:t>
            </w:r>
          </w:p>
        </w:tc>
      </w:tr>
      <w:tr w:rsidR="00B36829" w:rsidRPr="00901350" w:rsidTr="00632C6F">
        <w:trPr>
          <w:gridAfter w:val="1"/>
          <w:wAfter w:w="90" w:type="dxa"/>
        </w:trPr>
        <w:tc>
          <w:tcPr>
            <w:tcW w:w="6268" w:type="dxa"/>
            <w:gridSpan w:val="4"/>
          </w:tcPr>
          <w:p w:rsidR="00B36829" w:rsidRPr="00901350" w:rsidRDefault="00B36829" w:rsidP="00AD6297">
            <w:pPr>
              <w:spacing w:before="120" w:after="120"/>
              <w:rPr>
                <w:rFonts w:asciiTheme="majorHAnsi" w:hAnsiTheme="majorHAnsi"/>
              </w:rPr>
            </w:pPr>
            <w:r w:rsidRPr="00901350">
              <w:rPr>
                <w:rFonts w:asciiTheme="majorHAnsi" w:hAnsiTheme="majorHAnsi"/>
              </w:rPr>
              <w:t xml:space="preserve">Hemochromatosis is the most common form of iron overload disease.  Physicians use the information from an MRI to decide whether to perform the invasive procedure of a liver biopsy. Iron content in the liver normally is around the 400 μmol/g. </w:t>
            </w:r>
          </w:p>
          <w:p w:rsidR="00B36829" w:rsidRPr="00901350" w:rsidRDefault="00B36829" w:rsidP="00632C6F">
            <w:pPr>
              <w:numPr>
                <w:ilvl w:val="0"/>
                <w:numId w:val="22"/>
              </w:numPr>
              <w:spacing w:before="120" w:after="120"/>
              <w:rPr>
                <w:rFonts w:asciiTheme="majorHAnsi" w:hAnsiTheme="majorHAnsi"/>
              </w:rPr>
            </w:pPr>
            <w:r w:rsidRPr="00901350">
              <w:rPr>
                <w:rFonts w:asciiTheme="majorHAnsi" w:hAnsiTheme="majorHAnsi"/>
              </w:rPr>
              <w:t>When the iron content is greater than 400 μmol/g, action may be required.  Beyond what signal intensity ratio might physicians prescribe a biopsy?</w:t>
            </w:r>
          </w:p>
          <w:p w:rsidR="00B36829" w:rsidRPr="00901350" w:rsidRDefault="00B36829" w:rsidP="005E0AF4">
            <w:pPr>
              <w:numPr>
                <w:ilvl w:val="0"/>
                <w:numId w:val="22"/>
              </w:numPr>
              <w:spacing w:before="120" w:after="120"/>
              <w:rPr>
                <w:rFonts w:asciiTheme="majorHAnsi" w:hAnsiTheme="majorHAnsi"/>
              </w:rPr>
            </w:pPr>
            <w:r w:rsidRPr="00901350">
              <w:rPr>
                <w:rFonts w:asciiTheme="majorHAnsi" w:hAnsiTheme="majorHAnsi"/>
              </w:rPr>
              <w:t>The signal intensity ratio of the liver (siL) and the signal intensity ratio of the paraspinal muscle (siM) on the same CAT-scan provide what is called the siL/siM ratio. The siL/siM ratio can be used to determine the amount of iron in the liver, measured in μmol/g.  Iron overload in the liver decreases the signal intensity of the liver while muscle signal intensity remains unchanged.</w:t>
            </w:r>
          </w:p>
          <w:p w:rsidR="00B36829" w:rsidRPr="00901350" w:rsidRDefault="00B36829" w:rsidP="00AD6297">
            <w:pPr>
              <w:numPr>
                <w:ilvl w:val="0"/>
                <w:numId w:val="22"/>
              </w:numPr>
              <w:spacing w:before="120" w:after="120"/>
              <w:rPr>
                <w:rFonts w:asciiTheme="majorHAnsi" w:hAnsiTheme="majorHAnsi"/>
              </w:rPr>
            </w:pPr>
            <w:r w:rsidRPr="00901350">
              <w:rPr>
                <w:rFonts w:asciiTheme="majorHAnsi" w:hAnsiTheme="majorHAnsi"/>
              </w:rPr>
              <w:t>The data (right) came from biopsies and shows the signal intensity ratio and the iron content. Describe the general trend you see in the data.</w:t>
            </w:r>
          </w:p>
          <w:p w:rsidR="00B36829" w:rsidRPr="00901350" w:rsidRDefault="00B36829" w:rsidP="00387676">
            <w:pPr>
              <w:rPr>
                <w:rFonts w:asciiTheme="majorHAnsi" w:hAnsiTheme="majorHAnsi"/>
              </w:rPr>
            </w:pPr>
            <w:r w:rsidRPr="00901350">
              <w:rPr>
                <w:rFonts w:asciiTheme="majorHAnsi" w:hAnsiTheme="majorHAnsi"/>
              </w:rPr>
              <w:t xml:space="preserve">For more information Hemochromatosis  on see:  </w:t>
            </w:r>
            <w:hyperlink r:id="rId11" w:history="1">
              <w:r w:rsidRPr="00901350">
                <w:rPr>
                  <w:rStyle w:val="Hyperlink"/>
                  <w:rFonts w:asciiTheme="majorHAnsi" w:hAnsiTheme="majorHAnsi" w:cs="Arial"/>
                </w:rPr>
                <w:t>http://digestive.niddk.nih.gov/ddiseases/pubs/hemochromatosis/index.htm</w:t>
              </w:r>
            </w:hyperlink>
            <w:r w:rsidRPr="00901350">
              <w:rPr>
                <w:rFonts w:asciiTheme="majorHAnsi" w:hAnsiTheme="majorHAnsi"/>
              </w:rPr>
              <w:t xml:space="preserve"> </w:t>
            </w:r>
          </w:p>
          <w:p w:rsidR="00B36829" w:rsidRPr="00901350" w:rsidRDefault="00B36829" w:rsidP="00387676">
            <w:pPr>
              <w:rPr>
                <w:rFonts w:asciiTheme="majorHAnsi" w:hAnsiTheme="majorHAnsi"/>
              </w:rPr>
            </w:pPr>
          </w:p>
          <w:p w:rsidR="00B36829" w:rsidRPr="00901350" w:rsidRDefault="00B36829" w:rsidP="00387676">
            <w:pPr>
              <w:jc w:val="right"/>
              <w:rPr>
                <w:rFonts w:asciiTheme="majorHAnsi" w:hAnsiTheme="majorHAnsi"/>
              </w:rPr>
            </w:pPr>
            <w:r w:rsidRPr="00901350">
              <w:rPr>
                <w:rFonts w:asciiTheme="majorHAnsi" w:hAnsiTheme="majorHAnsi"/>
              </w:rPr>
              <w:t>Table 1</w:t>
            </w:r>
          </w:p>
        </w:tc>
        <w:tc>
          <w:tcPr>
            <w:tcW w:w="3780" w:type="dxa"/>
          </w:tcPr>
          <w:p w:rsidR="00B36829" w:rsidRPr="00901350" w:rsidRDefault="00B36829">
            <w:pPr>
              <w:rPr>
                <w:rFonts w:asciiTheme="majorHAnsi" w:hAnsiTheme="majorHAnsi"/>
                <w:sz w:val="10"/>
                <w:szCs w:val="10"/>
              </w:rPr>
            </w:pPr>
          </w:p>
          <w:tbl>
            <w:tblPr>
              <w:tblW w:w="3352" w:type="dxa"/>
              <w:tblLayout w:type="fixed"/>
              <w:tblLook w:val="00A0"/>
            </w:tblPr>
            <w:tblGrid>
              <w:gridCol w:w="1676"/>
              <w:gridCol w:w="1676"/>
            </w:tblGrid>
            <w:tr w:rsidR="00B36829" w:rsidRPr="00901350" w:rsidTr="005E0AF4">
              <w:trPr>
                <w:trHeight w:val="315"/>
              </w:trPr>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Signal</w:t>
                  </w:r>
                </w:p>
              </w:tc>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 </w:t>
                  </w:r>
                </w:p>
              </w:tc>
            </w:tr>
            <w:tr w:rsidR="00B36829" w:rsidRPr="00901350" w:rsidTr="005E0AF4">
              <w:trPr>
                <w:trHeight w:val="315"/>
              </w:trPr>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Intensity</w:t>
                  </w:r>
                </w:p>
              </w:tc>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 </w:t>
                  </w:r>
                </w:p>
              </w:tc>
            </w:tr>
            <w:tr w:rsidR="00B36829" w:rsidRPr="00901350" w:rsidTr="00901350">
              <w:trPr>
                <w:trHeight w:val="80"/>
              </w:trPr>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Ratio (SIR)</w:t>
                  </w:r>
                </w:p>
              </w:tc>
              <w:tc>
                <w:tcPr>
                  <w:tcW w:w="1676" w:type="dxa"/>
                  <w:tcBorders>
                    <w:top w:val="nil"/>
                    <w:left w:val="nil"/>
                    <w:bottom w:val="nil"/>
                    <w:right w:val="nil"/>
                  </w:tcBorders>
                  <w:shd w:val="clear" w:color="000000" w:fill="B2A1C7"/>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Iron</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0.42</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960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0.58</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800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0.6</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570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0.77</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420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0.82</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360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0.83</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680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0.92</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280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1</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510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1.02</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315</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1.16</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390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1.3</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250</w:t>
                  </w:r>
                </w:p>
              </w:tc>
            </w:tr>
            <w:tr w:rsidR="00B36829" w:rsidRPr="00901350" w:rsidTr="005E0AF4">
              <w:trPr>
                <w:trHeight w:val="315"/>
              </w:trPr>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1.51</w:t>
                  </w:r>
                </w:p>
              </w:tc>
              <w:tc>
                <w:tcPr>
                  <w:tcW w:w="1676" w:type="dxa"/>
                  <w:tcBorders>
                    <w:top w:val="nil"/>
                    <w:left w:val="nil"/>
                    <w:bottom w:val="nil"/>
                    <w:right w:val="nil"/>
                  </w:tcBorders>
                  <w:noWrap/>
                  <w:vAlign w:val="bottom"/>
                </w:tcPr>
                <w:p w:rsidR="00B36829" w:rsidRPr="00901350" w:rsidRDefault="00B36829" w:rsidP="005E0AF4">
                  <w:pPr>
                    <w:jc w:val="center"/>
                    <w:rPr>
                      <w:rFonts w:asciiTheme="majorHAnsi" w:hAnsiTheme="majorHAnsi" w:cs="Times New Roman"/>
                      <w:b/>
                      <w:bCs/>
                      <w:color w:val="000000"/>
                      <w:sz w:val="24"/>
                      <w:szCs w:val="24"/>
                    </w:rPr>
                  </w:pPr>
                  <w:r w:rsidRPr="00901350">
                    <w:rPr>
                      <w:rFonts w:asciiTheme="majorHAnsi" w:hAnsiTheme="majorHAnsi" w:cs="Times New Roman"/>
                      <w:b/>
                      <w:bCs/>
                      <w:color w:val="000000"/>
                      <w:sz w:val="24"/>
                      <w:szCs w:val="24"/>
                    </w:rPr>
                    <w:t>230</w:t>
                  </w:r>
                </w:p>
              </w:tc>
            </w:tr>
          </w:tbl>
          <w:p w:rsidR="00B36829" w:rsidRPr="00901350" w:rsidRDefault="00B36829" w:rsidP="00D73378">
            <w:pPr>
              <w:rPr>
                <w:rFonts w:asciiTheme="majorHAnsi" w:hAnsiTheme="majorHAnsi" w:cs="Tahoma"/>
                <w:color w:val="333333"/>
                <w:spacing w:val="2"/>
                <w:sz w:val="18"/>
                <w:szCs w:val="18"/>
              </w:rPr>
            </w:pPr>
          </w:p>
        </w:tc>
      </w:tr>
    </w:tbl>
    <w:p w:rsidR="00B36829" w:rsidRPr="00901350" w:rsidRDefault="00B36829">
      <w:pPr>
        <w:rPr>
          <w:rFonts w:asciiTheme="majorHAnsi" w:hAnsiTheme="majorHAnsi"/>
        </w:rPr>
      </w:pPr>
      <w:r w:rsidRPr="00901350">
        <w:rPr>
          <w:rFonts w:asciiTheme="majorHAnsi" w:hAnsiTheme="majorHAnsi"/>
        </w:rPr>
        <w:br w:type="page"/>
      </w:r>
    </w:p>
    <w:tbl>
      <w:tblPr>
        <w:tblW w:w="5000" w:type="pct"/>
        <w:tblBorders>
          <w:top w:val="single" w:sz="4" w:space="0" w:color="auto"/>
          <w:bottom w:val="single" w:sz="4" w:space="0" w:color="auto"/>
          <w:insideH w:val="single" w:sz="4" w:space="0" w:color="auto"/>
          <w:insideV w:val="single" w:sz="4" w:space="0" w:color="auto"/>
        </w:tblBorders>
        <w:tblLayout w:type="fixed"/>
        <w:tblCellMar>
          <w:left w:w="58" w:type="dxa"/>
          <w:right w:w="58" w:type="dxa"/>
        </w:tblCellMar>
        <w:tblLook w:val="01E0"/>
      </w:tblPr>
      <w:tblGrid>
        <w:gridCol w:w="2577"/>
        <w:gridCol w:w="2219"/>
        <w:gridCol w:w="5400"/>
      </w:tblGrid>
      <w:tr w:rsidR="00B36829" w:rsidRPr="00901350" w:rsidTr="000C2167">
        <w:trPr>
          <w:trHeight w:val="4032"/>
        </w:trPr>
        <w:tc>
          <w:tcPr>
            <w:tcW w:w="1264" w:type="pct"/>
          </w:tcPr>
          <w:p w:rsidR="00B36829" w:rsidRPr="00901350" w:rsidRDefault="00B36829" w:rsidP="005E0AF4">
            <w:pPr>
              <w:spacing w:before="120" w:after="120"/>
              <w:rPr>
                <w:rFonts w:asciiTheme="majorHAnsi" w:hAnsiTheme="majorHAnsi"/>
              </w:rPr>
            </w:pPr>
          </w:p>
          <w:p w:rsidR="00B36829" w:rsidRPr="00901350" w:rsidRDefault="00B36829" w:rsidP="005E0AF4">
            <w:pPr>
              <w:spacing w:before="120" w:after="120"/>
              <w:rPr>
                <w:rFonts w:asciiTheme="majorHAnsi" w:hAnsiTheme="majorHAnsi"/>
              </w:rPr>
            </w:pPr>
            <w:r w:rsidRPr="00901350">
              <w:rPr>
                <w:rFonts w:asciiTheme="majorHAnsi" w:hAnsiTheme="majorHAnsi"/>
              </w:rPr>
              <w:t>The objective is to find a model that will predict the iron content in the liver.  If the amount of iron found is greater than 400 μmol/g, the physician may prescribe additional tests, including a biopsy.</w:t>
            </w:r>
          </w:p>
          <w:p w:rsidR="00B36829" w:rsidRPr="00901350" w:rsidRDefault="00B36829" w:rsidP="00901350">
            <w:pPr>
              <w:numPr>
                <w:ilvl w:val="0"/>
                <w:numId w:val="22"/>
              </w:numPr>
              <w:spacing w:before="120" w:after="120"/>
              <w:rPr>
                <w:rFonts w:asciiTheme="majorHAnsi" w:hAnsiTheme="majorHAnsi"/>
              </w:rPr>
            </w:pPr>
            <w:r w:rsidRPr="00901350">
              <w:rPr>
                <w:rFonts w:asciiTheme="majorHAnsi" w:hAnsiTheme="majorHAnsi"/>
              </w:rPr>
              <w:t>Construct a scatter plot of the data in Table 1.</w:t>
            </w:r>
          </w:p>
          <w:p w:rsidR="00B36829" w:rsidRPr="00901350" w:rsidRDefault="00B36829" w:rsidP="005E0AF4">
            <w:pPr>
              <w:spacing w:before="120" w:after="120"/>
              <w:rPr>
                <w:rFonts w:asciiTheme="majorHAnsi" w:hAnsiTheme="majorHAnsi"/>
                <w:sz w:val="24"/>
                <w:szCs w:val="24"/>
              </w:rPr>
            </w:pPr>
          </w:p>
        </w:tc>
        <w:tc>
          <w:tcPr>
            <w:tcW w:w="3736" w:type="pct"/>
            <w:gridSpan w:val="2"/>
          </w:tcPr>
          <w:p w:rsidR="00B36829" w:rsidRPr="00901350" w:rsidRDefault="00882B40" w:rsidP="000C2167">
            <w:pPr>
              <w:rPr>
                <w:rFonts w:asciiTheme="majorHAnsi" w:hAnsiTheme="majorHAnsi" w:cs="Times New Roman"/>
                <w:b/>
                <w:bCs/>
                <w:color w:val="000000"/>
                <w:sz w:val="24"/>
                <w:szCs w:val="24"/>
              </w:rPr>
            </w:pPr>
            <w:r w:rsidRPr="00882B40">
              <w:rPr>
                <w:rFonts w:asciiTheme="majorHAnsi" w:hAnsiTheme="majorHAnsi" w:cs="Times New Roman"/>
                <w:b/>
                <w:noProof/>
                <w:color w:val="000000"/>
                <w:sz w:val="24"/>
                <w:szCs w:val="24"/>
              </w:rPr>
              <w:pict>
                <v:shape id="Chart 2" o:spid="_x0000_i1028" type="#_x0000_t75" style="width:367.5pt;height:18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TKDkR2QAAAAUBAAAPAAAAZHJzL2Rvd25y&#10;ZXYueG1sTI9BT8MwDIXvSPyHyEjcWDrGGCpNJ4Q0DcFpgx/gNqataJySpFv37zFc2MXy07Oev1es&#10;J9erA4XYeTYwn2WgiGtvO24MfLxvbh5AxYRssfdMBk4UYV1eXhSYW3/kHR32qVESwjFHA21KQ651&#10;rFtyGGd+IBbv0weHSWRotA14lHDX69ssu9cOO5YPLQ703FL9tR+dgW9dbXF8m29et/iyRKLV7nQX&#10;jLm+mp4eQSWa0v8x/OILOpTCVPmRbVS9ASmS/qZ4q8VSZGVgIRvostDn9OUPAAAA//8DAFBLAwQU&#10;AAYACAAAACEAbxkN6w0BAAA0AgAADgAAAGRycy9lMm9Eb2MueG1snJFNTsMwEIX3SNzBmj11kkVo&#10;ozrdVEis2MABBnucWEpsa+wSuD2mjVBZIXU3P9I3773ZHz7nSXwQJxe8gnpTgSCvg3F+UPD2+vSw&#10;BZEyeoNT8KTgixIc+vu7/RI7asIYJkMsCsSnbokKxpxjJ2XSI82YNiGSL0sbeMZcWh6kYVwKfZ5k&#10;U1WtXAKbyEFTSmV6vCyhP/OtJZ1frE2UxVTUNfWuAZEVtNWuBcEKto9VDeJdQQWy32M3MMbR6VUQ&#10;3qBnRufL+V/UETOKE7sbUHpEzoWlu3O1itI3k1ZAsf1/ysFap+kY9Gkmny9RM02Yy5/T6GIq8XXO&#10;KOBnU/9kJ/84vu5Lff3s/h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L8nVcX0AAAA&#10;bQEAACAAAABkcnMvY2hhcnRzL19yZWxzL2NoYXJ0MS54bWwucmVsc4SQQUvEMBCF74L/IQx4tOmu&#10;oLI03UO7wh5EWOutl5hM2mialGRWuv/esCC4IHiaeW+Ybx5TbZfJsS+MyQYvYFWUwNCroK0fBLx1&#10;T7ePwBJJr6ULHgWcMMG2vr6qDugk5aU02jmxTPFJwEg0bzhPasRJpiLM6PPEhDhJyjIOfJbqUw7I&#10;12V5z+NvBtQXTLbXAuJer4B1pzlf/p8djLEK26COE3r64wQPDl/eP1BRhso4IAkw1mGOzJtN33bN&#10;zbo82GGkXF/paEzfjXg2ziq7Tds/FHe52S0KXbG4tPywnoPOMXcLYfTSAa8rfvGk+hsAAP//AwBQ&#10;SwMEFAAGAAgAAAAhAPSgAvoFBQAAYw8AABUAAABkcnMvY2hhcnRzL2NoYXJ0MS54bWzUV9tu4zYQ&#10;fV9g/0EV9q2ILdG6GrEXuWwWBhI0sLP70DdGom01FKWl6MTez+on9Ms6vMlSumqTFH2oAQvU3GfO&#10;DEmdftyX1HkkvCkqNnP9kec6hGVVXrDNzP1yd3WSuE4jMMsxrRiZuQfSuB/n79+dZtNsi7lY1Tgj&#10;DhhhzTSbuVsh6ul43GRbUuJmVNWEAW9d8RILeOWbcc7xExgv6Rh5XjRWRlxjAL/BQIkLZvX5S/Sr&#10;9brIyGWV7UrChI6CE4oFVKDZFnXjziG5HAvip17gPGIKdXHHkkgx22gCYSdfVpqoMpBcUQhK1GIv&#10;n7zItvNTPL2v8sMtB308pY1YiQMl6qWWlPqWO5huoPQU3OJpTtZLIDXfwWfgedLDWElJJlcPYMs4&#10;Zq6OoSeLp2J+SQThZcGgyI7YEuesrHZMONXaWfCKOQVT1OsCQJe2hfIApqUfeNrAYSFUHhQfqp2Q&#10;gXRSrGklzjjBuipSQK5KzHaYXiuFI+cO8w0Rum4FY4Truu1vqpyYauYboomHHxH3Wsob+V4ShaEf&#10;+T6CR5qmRsnykZeEEUpiD7hRHKYGtifLT4Jk4odRFAQhCsPYqG8tO0JpgELkRZEXhwH8VfmfpwVl&#10;0CWRGTYZFlDuCzkKnXeFsjZLC0ZuMH+waTcEap1Ni9xmpXOoeE64CURTGugNCThlztPMRUkI8ch3&#10;Vl0VlOrGoEzBokUBHk5YLh1KD+3L3aE2dZYsbMqfF029XH0zPk2lJPHTNx2GIbVmru+pNHvM/Tna&#10;JqF4FEQBQj6KU4DI9yfppxPUA+rEGwVAR5MgTKM08qJJrJxBZfs2e6XW3fjSqZKV6gxT8opZgn3J&#10;de5xQ2S5Zq4aQjknC2fmnESeN4pCZ7VYOj87vofiUfj+3fKP34EnGRHqzRSeAiC3mGM51H+dWunJ&#10;TPiPJo/tyqtSOHr3vIBpmbmfCcwPprAnVzuekeuCPZDcxCjn0zaAAqtLkNDtv2IFIdhdkrWkrOew&#10;z+GfPpx9CKbw8EM55IoDMhcYdnElpbZvGcDc+FdiRypYqsWF2mb0dmnwroUDfS7Dk2Ye54A7pNz5&#10;IV9aelTJ12qArIrfqoSAXeeH0iEV1KoASN1fAKD82MukVYnjroaHgiGVoFVJ+rkMasix1dknk56T&#10;QY2o1UgHQ4+NzGAFEysw8gaNpK2MH8J2evwNZe9bKP3RZFDGYuePwmfRAQzHxtIvqhNhaZvzMNik&#10;57JJz//zJoUNaTAzUy7oyCER24RhPChimw5mYciKbbLJcCy2q6Jk0IptIzQsYrso9Aet2D6Ck3Mo&#10;XNtGk3TQSts4KByWsY2DJs9k/qZvdL+AgDlY8X6R6wMMhb7vxUmgz54ePfCjidqjpN6zIxx2sDN1&#10;8elpdCyBApwMGznUFS/gDqmujton3Ltu8F57LLE5Ef1RpLZ55cuq4v1t1Wiley3/xvvj8aT758si&#10;SMiTbFVsGKbOggnCmkIcnKVMoXdyveo2+PKDylwqSvxbxe+K7EHejHQRGHxe2DpkD3B+teVhZC/u&#10;Ks3LeNU0Z6auAHALJHyOSBYxJcU7Uf1KeFfrnIgnQpjFKb/AwqDSIt4uetB3fLweetjwjZeObgd7&#10;qvNSBfnMC3V7awCmzl37rRefF7eD/C74P4Lfmcl/DT5sBN1vGrn+WjS/MHrQDWMvqO3XHjQl4TBF&#10;l3CBcjjc52cuX+Q9MfVtPP8TAAD//wMAUEsBAi0AFAAGAAgAAAAhAKTylZEcAQAAXgIAABMAAAAA&#10;AAAAAAAAAAAAAAAAAFtDb250ZW50X1R5cGVzXS54bWxQSwECLQAUAAYACAAAACEAOP0h/9YAAACU&#10;AQAACwAAAAAAAAAAAAAAAABNAQAAX3JlbHMvLnJlbHNQSwECLQAUAAYACAAAACEA0yg5EdkAAAAF&#10;AQAADwAAAAAAAAAAAAAAAABMAgAAZHJzL2Rvd25yZXYueG1sUEsBAi0AFAAGAAgAAAAhAG8ZDesN&#10;AQAANAIAAA4AAAAAAAAAAAAAAAAAUgMAAGRycy9lMm9Eb2MueG1sUEsBAi0AFAAGAAgAAAAhAKsW&#10;zUa5AAAAIgEAABkAAAAAAAAAAAAAAAAAiwQAAGRycy9fcmVscy9lMm9Eb2MueG1sLnJlbHNQSwEC&#10;LQAUAAYACAAAACEAvydVxfQAAABtAQAAIAAAAAAAAAAAAAAAAAB7BQAAZHJzL2NoYXJ0cy9fcmVs&#10;cy9jaGFydDEueG1sLnJlbHNQSwECLQAUAAYACAAAACEA9KAC+gUFAABjDwAAFQAAAAAAAAAAAAAA&#10;AACtBgAAZHJzL2NoYXJ0cy9jaGFydDEueG1sUEsFBgAAAAAHAAcAywEAAOULAAAAAA==&#10;">
                  <v:imagedata r:id="rId12" o:title="" cropbottom="-35f"/>
                  <o:lock v:ext="edit" aspectratio="f"/>
                </v:shape>
              </w:pict>
            </w:r>
          </w:p>
        </w:tc>
      </w:tr>
      <w:tr w:rsidR="00B36829" w:rsidRPr="00901350" w:rsidTr="000C2167">
        <w:tc>
          <w:tcPr>
            <w:tcW w:w="2352" w:type="pct"/>
            <w:gridSpan w:val="2"/>
          </w:tcPr>
          <w:p w:rsidR="00B36829" w:rsidRPr="00901350" w:rsidRDefault="00B36829" w:rsidP="005E0AF4">
            <w:pPr>
              <w:spacing w:before="120" w:after="120"/>
              <w:rPr>
                <w:rFonts w:asciiTheme="majorHAnsi" w:hAnsiTheme="majorHAnsi"/>
              </w:rPr>
            </w:pPr>
          </w:p>
          <w:p w:rsidR="00B36829" w:rsidRPr="00901350" w:rsidRDefault="00B36829" w:rsidP="00901350">
            <w:pPr>
              <w:numPr>
                <w:ilvl w:val="0"/>
                <w:numId w:val="22"/>
              </w:numPr>
              <w:spacing w:before="120" w:after="120"/>
              <w:rPr>
                <w:rFonts w:asciiTheme="majorHAnsi" w:hAnsiTheme="majorHAnsi"/>
              </w:rPr>
            </w:pPr>
            <w:r w:rsidRPr="00901350">
              <w:rPr>
                <w:rFonts w:asciiTheme="majorHAnsi" w:hAnsiTheme="majorHAnsi"/>
              </w:rPr>
              <w:t>Find a linear model for iron as a function of the SIR.</w:t>
            </w:r>
          </w:p>
          <w:p w:rsidR="00B36829" w:rsidRPr="00901350" w:rsidRDefault="00B36829" w:rsidP="005E0AF4">
            <w:pPr>
              <w:spacing w:before="120" w:after="120"/>
              <w:rPr>
                <w:rFonts w:asciiTheme="majorHAnsi" w:hAnsiTheme="majorHAnsi"/>
              </w:rPr>
            </w:pPr>
          </w:p>
        </w:tc>
        <w:tc>
          <w:tcPr>
            <w:tcW w:w="2648" w:type="pct"/>
          </w:tcPr>
          <w:p w:rsidR="00B36829" w:rsidRPr="00901350" w:rsidRDefault="00B36829" w:rsidP="000F3D65">
            <w:pPr>
              <w:rPr>
                <w:rFonts w:asciiTheme="majorHAnsi" w:hAnsiTheme="majorHAnsi" w:cs="Times New Roman"/>
                <w:b/>
                <w:bCs/>
                <w:color w:val="FF0000"/>
              </w:rPr>
            </w:pPr>
          </w:p>
        </w:tc>
      </w:tr>
      <w:tr w:rsidR="00B36829" w:rsidRPr="00901350" w:rsidTr="000C2167">
        <w:tc>
          <w:tcPr>
            <w:tcW w:w="2352" w:type="pct"/>
            <w:gridSpan w:val="2"/>
          </w:tcPr>
          <w:p w:rsidR="00B36829" w:rsidRPr="00901350" w:rsidRDefault="00B36829" w:rsidP="005E0AF4">
            <w:pPr>
              <w:spacing w:before="120" w:after="120"/>
              <w:rPr>
                <w:rFonts w:asciiTheme="majorHAnsi" w:hAnsiTheme="majorHAnsi"/>
              </w:rPr>
            </w:pPr>
          </w:p>
          <w:p w:rsidR="00B36829" w:rsidRPr="00901350" w:rsidRDefault="00B36829" w:rsidP="00901350">
            <w:pPr>
              <w:numPr>
                <w:ilvl w:val="0"/>
                <w:numId w:val="22"/>
              </w:numPr>
              <w:spacing w:before="120" w:after="120"/>
              <w:rPr>
                <w:rFonts w:asciiTheme="majorHAnsi" w:hAnsiTheme="majorHAnsi"/>
              </w:rPr>
            </w:pPr>
            <w:r w:rsidRPr="00901350">
              <w:rPr>
                <w:rFonts w:asciiTheme="majorHAnsi" w:hAnsiTheme="majorHAnsi"/>
              </w:rPr>
              <w:t>According to the model, below what SIR might the physician prescribe additional tests?</w:t>
            </w:r>
          </w:p>
          <w:p w:rsidR="00B36829" w:rsidRPr="00901350" w:rsidRDefault="00B36829" w:rsidP="005E0AF4">
            <w:pPr>
              <w:spacing w:before="120" w:after="120"/>
              <w:rPr>
                <w:rFonts w:asciiTheme="majorHAnsi" w:hAnsiTheme="majorHAnsi"/>
              </w:rPr>
            </w:pPr>
          </w:p>
        </w:tc>
        <w:tc>
          <w:tcPr>
            <w:tcW w:w="2648" w:type="pct"/>
          </w:tcPr>
          <w:p w:rsidR="00B36829" w:rsidRPr="00901350" w:rsidRDefault="00B36829" w:rsidP="00FF5E6D">
            <w:pPr>
              <w:rPr>
                <w:rFonts w:asciiTheme="majorHAnsi" w:hAnsiTheme="majorHAnsi" w:cs="Times New Roman"/>
                <w:b/>
                <w:bCs/>
                <w:color w:val="FF0000"/>
              </w:rPr>
            </w:pPr>
          </w:p>
        </w:tc>
      </w:tr>
      <w:tr w:rsidR="00B36829" w:rsidRPr="00901350" w:rsidTr="00927436">
        <w:trPr>
          <w:trHeight w:val="1142"/>
        </w:trPr>
        <w:tc>
          <w:tcPr>
            <w:tcW w:w="2352" w:type="pct"/>
            <w:gridSpan w:val="2"/>
            <w:vAlign w:val="center"/>
          </w:tcPr>
          <w:p w:rsidR="00B36829" w:rsidRPr="00927436" w:rsidRDefault="00B36829" w:rsidP="00927436">
            <w:pPr>
              <w:numPr>
                <w:ilvl w:val="0"/>
                <w:numId w:val="22"/>
              </w:numPr>
              <w:spacing w:before="120" w:after="120"/>
              <w:rPr>
                <w:rFonts w:asciiTheme="majorHAnsi" w:hAnsiTheme="majorHAnsi"/>
              </w:rPr>
            </w:pPr>
            <w:r w:rsidRPr="00927436">
              <w:rPr>
                <w:rFonts w:asciiTheme="majorHAnsi" w:hAnsiTheme="majorHAnsi"/>
              </w:rPr>
              <w:t>Discuss why other factors might enter into the decision.</w:t>
            </w:r>
          </w:p>
        </w:tc>
        <w:tc>
          <w:tcPr>
            <w:tcW w:w="2648" w:type="pct"/>
            <w:vAlign w:val="center"/>
          </w:tcPr>
          <w:p w:rsidR="00B36829" w:rsidRPr="00901350" w:rsidRDefault="00B36829" w:rsidP="00912202">
            <w:pPr>
              <w:rPr>
                <w:rFonts w:asciiTheme="majorHAnsi" w:hAnsiTheme="majorHAnsi" w:cs="Times New Roman"/>
                <w:b/>
                <w:bCs/>
                <w:color w:val="FF0000"/>
              </w:rPr>
            </w:pPr>
          </w:p>
        </w:tc>
      </w:tr>
    </w:tbl>
    <w:p w:rsidR="00B36829" w:rsidRPr="00901350" w:rsidRDefault="00B36829" w:rsidP="00927436">
      <w:pPr>
        <w:rPr>
          <w:rFonts w:asciiTheme="majorHAnsi" w:hAnsiTheme="majorHAnsi"/>
          <w:sz w:val="24"/>
          <w:szCs w:val="24"/>
        </w:rPr>
      </w:pPr>
    </w:p>
    <w:sectPr w:rsidR="00B36829" w:rsidRPr="00901350" w:rsidSect="00A65A1C">
      <w:headerReference w:type="default" r:id="rId13"/>
      <w:footerReference w:type="default" r:id="rId14"/>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154" w:rsidRDefault="00050154">
      <w:r>
        <w:separator/>
      </w:r>
    </w:p>
  </w:endnote>
  <w:endnote w:type="continuationSeparator" w:id="0">
    <w:p w:rsidR="00050154" w:rsidRDefault="000501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829" w:rsidRDefault="00882B40">
    <w:pPr>
      <w:pStyle w:val="Footer"/>
      <w:jc w:val="right"/>
    </w:pPr>
    <w:fldSimple w:instr=" PAGE   \* MERGEFORMAT ">
      <w:r w:rsidR="00927436">
        <w:rPr>
          <w:noProof/>
        </w:rPr>
        <w:t>3</w:t>
      </w:r>
    </w:fldSimple>
  </w:p>
  <w:p w:rsidR="00B36829" w:rsidRPr="00593C01" w:rsidRDefault="00B36829" w:rsidP="00387676">
    <w:pPr>
      <w:pStyle w:val="Footer"/>
      <w:tabs>
        <w:tab w:val="clear" w:pos="8640"/>
        <w:tab w:val="right" w:pos="9180"/>
      </w:tabs>
      <w:rPr>
        <w:b/>
      </w:rPr>
    </w:pPr>
    <w:r>
      <w:rPr>
        <w:b/>
      </w:rPr>
      <w:t>Module 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154" w:rsidRDefault="00050154">
      <w:r>
        <w:separator/>
      </w:r>
    </w:p>
  </w:footnote>
  <w:footnote w:type="continuationSeparator" w:id="0">
    <w:p w:rsidR="00050154" w:rsidRDefault="000501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829" w:rsidRDefault="00B36829" w:rsidP="00A65A1C">
    <w:pPr>
      <w:pBdr>
        <w:bottom w:val="single" w:sz="8" w:space="1" w:color="auto"/>
      </w:pBdr>
      <w:tabs>
        <w:tab w:val="right" w:pos="10080"/>
      </w:tabs>
      <w:rPr>
        <w:b/>
        <w:bCs/>
        <w:smallCaps/>
        <w:sz w:val="24"/>
        <w:szCs w:val="24"/>
      </w:rPr>
    </w:pPr>
    <w:r>
      <w:rPr>
        <w:b/>
        <w:bCs/>
        <w:sz w:val="32"/>
        <w:szCs w:val="32"/>
      </w:rPr>
      <w:t>A Slice of Liver</w:t>
    </w:r>
    <w:r>
      <w:rPr>
        <w:b/>
        <w:bCs/>
        <w:sz w:val="32"/>
        <w:szCs w:val="32"/>
      </w:rPr>
      <w:tab/>
    </w:r>
    <w:r w:rsidR="00593C01">
      <w:rPr>
        <w:b/>
        <w:bCs/>
        <w:smallCaps/>
        <w:sz w:val="24"/>
        <w:szCs w:val="24"/>
      </w:rPr>
      <w:t>Student Worksheet</w:t>
    </w:r>
  </w:p>
  <w:p w:rsidR="00B36829" w:rsidRDefault="00B368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151FE"/>
    <w:multiLevelType w:val="hybridMultilevel"/>
    <w:tmpl w:val="569E513E"/>
    <w:lvl w:ilvl="0" w:tplc="DF82FB40">
      <w:start w:val="1"/>
      <w:numFmt w:val="lowerLetter"/>
      <w:lvlText w:val="%1."/>
      <w:lvlJc w:val="left"/>
      <w:pPr>
        <w:ind w:left="1050" w:hanging="360"/>
      </w:pPr>
      <w:rPr>
        <w:rFonts w:cs="Times New Roman" w:hint="default"/>
      </w:rPr>
    </w:lvl>
    <w:lvl w:ilvl="1" w:tplc="04090019" w:tentative="1">
      <w:start w:val="1"/>
      <w:numFmt w:val="lowerLetter"/>
      <w:lvlText w:val="%2."/>
      <w:lvlJc w:val="left"/>
      <w:pPr>
        <w:ind w:left="1770" w:hanging="360"/>
      </w:pPr>
      <w:rPr>
        <w:rFonts w:cs="Times New Roman"/>
      </w:rPr>
    </w:lvl>
    <w:lvl w:ilvl="2" w:tplc="0409001B" w:tentative="1">
      <w:start w:val="1"/>
      <w:numFmt w:val="lowerRoman"/>
      <w:lvlText w:val="%3."/>
      <w:lvlJc w:val="right"/>
      <w:pPr>
        <w:ind w:left="2490" w:hanging="180"/>
      </w:pPr>
      <w:rPr>
        <w:rFonts w:cs="Times New Roman"/>
      </w:rPr>
    </w:lvl>
    <w:lvl w:ilvl="3" w:tplc="0409000F" w:tentative="1">
      <w:start w:val="1"/>
      <w:numFmt w:val="decimal"/>
      <w:lvlText w:val="%4."/>
      <w:lvlJc w:val="left"/>
      <w:pPr>
        <w:ind w:left="3210" w:hanging="360"/>
      </w:pPr>
      <w:rPr>
        <w:rFonts w:cs="Times New Roman"/>
      </w:rPr>
    </w:lvl>
    <w:lvl w:ilvl="4" w:tplc="04090019" w:tentative="1">
      <w:start w:val="1"/>
      <w:numFmt w:val="lowerLetter"/>
      <w:lvlText w:val="%5."/>
      <w:lvlJc w:val="left"/>
      <w:pPr>
        <w:ind w:left="3930" w:hanging="360"/>
      </w:pPr>
      <w:rPr>
        <w:rFonts w:cs="Times New Roman"/>
      </w:rPr>
    </w:lvl>
    <w:lvl w:ilvl="5" w:tplc="0409001B" w:tentative="1">
      <w:start w:val="1"/>
      <w:numFmt w:val="lowerRoman"/>
      <w:lvlText w:val="%6."/>
      <w:lvlJc w:val="right"/>
      <w:pPr>
        <w:ind w:left="4650" w:hanging="180"/>
      </w:pPr>
      <w:rPr>
        <w:rFonts w:cs="Times New Roman"/>
      </w:rPr>
    </w:lvl>
    <w:lvl w:ilvl="6" w:tplc="0409000F" w:tentative="1">
      <w:start w:val="1"/>
      <w:numFmt w:val="decimal"/>
      <w:lvlText w:val="%7."/>
      <w:lvlJc w:val="left"/>
      <w:pPr>
        <w:ind w:left="5370" w:hanging="360"/>
      </w:pPr>
      <w:rPr>
        <w:rFonts w:cs="Times New Roman"/>
      </w:rPr>
    </w:lvl>
    <w:lvl w:ilvl="7" w:tplc="04090019" w:tentative="1">
      <w:start w:val="1"/>
      <w:numFmt w:val="lowerLetter"/>
      <w:lvlText w:val="%8."/>
      <w:lvlJc w:val="left"/>
      <w:pPr>
        <w:ind w:left="6090" w:hanging="360"/>
      </w:pPr>
      <w:rPr>
        <w:rFonts w:cs="Times New Roman"/>
      </w:rPr>
    </w:lvl>
    <w:lvl w:ilvl="8" w:tplc="0409001B" w:tentative="1">
      <w:start w:val="1"/>
      <w:numFmt w:val="lowerRoman"/>
      <w:lvlText w:val="%9."/>
      <w:lvlJc w:val="right"/>
      <w:pPr>
        <w:ind w:left="6810" w:hanging="180"/>
      </w:pPr>
      <w:rPr>
        <w:rFonts w:cs="Times New Roman"/>
      </w:rPr>
    </w:lvl>
  </w:abstractNum>
  <w:abstractNum w:abstractNumId="1">
    <w:nsid w:val="144D028A"/>
    <w:multiLevelType w:val="hybridMultilevel"/>
    <w:tmpl w:val="5EDEE1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738062D"/>
    <w:multiLevelType w:val="hybridMultilevel"/>
    <w:tmpl w:val="492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47DB8"/>
    <w:multiLevelType w:val="hybridMultilevel"/>
    <w:tmpl w:val="CCBE16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01E4C43"/>
    <w:multiLevelType w:val="hybridMultilevel"/>
    <w:tmpl w:val="426236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2303E51"/>
    <w:multiLevelType w:val="hybridMultilevel"/>
    <w:tmpl w:val="C284B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D0732A"/>
    <w:multiLevelType w:val="hybridMultilevel"/>
    <w:tmpl w:val="E4E6070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B4E798C"/>
    <w:multiLevelType w:val="hybridMultilevel"/>
    <w:tmpl w:val="6EAC1A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27B4DDC"/>
    <w:multiLevelType w:val="hybridMultilevel"/>
    <w:tmpl w:val="7490371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2854B69"/>
    <w:multiLevelType w:val="hybridMultilevel"/>
    <w:tmpl w:val="615A565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32B519B5"/>
    <w:multiLevelType w:val="hybridMultilevel"/>
    <w:tmpl w:val="06CE7C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8055AA1"/>
    <w:multiLevelType w:val="hybridMultilevel"/>
    <w:tmpl w:val="14CE81D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A371247"/>
    <w:multiLevelType w:val="hybridMultilevel"/>
    <w:tmpl w:val="CEBCB818"/>
    <w:lvl w:ilvl="0" w:tplc="A54CED38">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B502784"/>
    <w:multiLevelType w:val="hybridMultilevel"/>
    <w:tmpl w:val="4E42949C"/>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D9D72D6"/>
    <w:multiLevelType w:val="multilevel"/>
    <w:tmpl w:val="DD36EE2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1094572"/>
    <w:multiLevelType w:val="hybridMultilevel"/>
    <w:tmpl w:val="C47C6EE4"/>
    <w:lvl w:ilvl="0" w:tplc="A54CED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2DC3638"/>
    <w:multiLevelType w:val="hybridMultilevel"/>
    <w:tmpl w:val="A53EAF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4AB2420"/>
    <w:multiLevelType w:val="hybridMultilevel"/>
    <w:tmpl w:val="0EA4157E"/>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8">
    <w:nsid w:val="639D5691"/>
    <w:multiLevelType w:val="hybridMultilevel"/>
    <w:tmpl w:val="B71679AC"/>
    <w:lvl w:ilvl="0" w:tplc="A54CED3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8A145E7"/>
    <w:multiLevelType w:val="hybridMultilevel"/>
    <w:tmpl w:val="E79035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B5C67F8"/>
    <w:multiLevelType w:val="hybridMultilevel"/>
    <w:tmpl w:val="17D477E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706A6718"/>
    <w:multiLevelType w:val="hybridMultilevel"/>
    <w:tmpl w:val="9A6A7A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53241C4"/>
    <w:multiLevelType w:val="hybridMultilevel"/>
    <w:tmpl w:val="75FC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BC626E"/>
    <w:multiLevelType w:val="hybridMultilevel"/>
    <w:tmpl w:val="ADF053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8"/>
  </w:num>
  <w:num w:numId="3">
    <w:abstractNumId w:val="18"/>
  </w:num>
  <w:num w:numId="4">
    <w:abstractNumId w:val="14"/>
  </w:num>
  <w:num w:numId="5">
    <w:abstractNumId w:val="15"/>
  </w:num>
  <w:num w:numId="6">
    <w:abstractNumId w:val="16"/>
  </w:num>
  <w:num w:numId="7">
    <w:abstractNumId w:val="13"/>
  </w:num>
  <w:num w:numId="8">
    <w:abstractNumId w:val="21"/>
  </w:num>
  <w:num w:numId="9">
    <w:abstractNumId w:val="19"/>
  </w:num>
  <w:num w:numId="10">
    <w:abstractNumId w:val="11"/>
  </w:num>
  <w:num w:numId="11">
    <w:abstractNumId w:val="4"/>
  </w:num>
  <w:num w:numId="12">
    <w:abstractNumId w:val="7"/>
  </w:num>
  <w:num w:numId="13">
    <w:abstractNumId w:val="17"/>
  </w:num>
  <w:num w:numId="14">
    <w:abstractNumId w:val="12"/>
  </w:num>
  <w:num w:numId="15">
    <w:abstractNumId w:val="3"/>
  </w:num>
  <w:num w:numId="16">
    <w:abstractNumId w:val="0"/>
  </w:num>
  <w:num w:numId="17">
    <w:abstractNumId w:val="1"/>
  </w:num>
  <w:num w:numId="18">
    <w:abstractNumId w:val="5"/>
  </w:num>
  <w:num w:numId="19">
    <w:abstractNumId w:val="22"/>
  </w:num>
  <w:num w:numId="20">
    <w:abstractNumId w:val="6"/>
  </w:num>
  <w:num w:numId="21">
    <w:abstractNumId w:val="2"/>
  </w:num>
  <w:num w:numId="22">
    <w:abstractNumId w:val="20"/>
  </w:num>
  <w:num w:numId="23">
    <w:abstractNumId w:val="9"/>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23A9"/>
    <w:rsid w:val="00031DC1"/>
    <w:rsid w:val="00050154"/>
    <w:rsid w:val="000B6879"/>
    <w:rsid w:val="000B6D16"/>
    <w:rsid w:val="000B7036"/>
    <w:rsid w:val="000C2167"/>
    <w:rsid w:val="000C49C0"/>
    <w:rsid w:val="000E4245"/>
    <w:rsid w:val="000F3D65"/>
    <w:rsid w:val="00103D4C"/>
    <w:rsid w:val="00122138"/>
    <w:rsid w:val="0015765D"/>
    <w:rsid w:val="001C09A6"/>
    <w:rsid w:val="00203982"/>
    <w:rsid w:val="00232781"/>
    <w:rsid w:val="002628BF"/>
    <w:rsid w:val="002B1B51"/>
    <w:rsid w:val="00387083"/>
    <w:rsid w:val="00387676"/>
    <w:rsid w:val="003E3784"/>
    <w:rsid w:val="00405428"/>
    <w:rsid w:val="004414FA"/>
    <w:rsid w:val="004543A7"/>
    <w:rsid w:val="004D198A"/>
    <w:rsid w:val="004E3960"/>
    <w:rsid w:val="00501DE6"/>
    <w:rsid w:val="005249BA"/>
    <w:rsid w:val="005427A0"/>
    <w:rsid w:val="00571378"/>
    <w:rsid w:val="00593C01"/>
    <w:rsid w:val="00594E21"/>
    <w:rsid w:val="005A5F87"/>
    <w:rsid w:val="005B6586"/>
    <w:rsid w:val="005D7058"/>
    <w:rsid w:val="005E0AF4"/>
    <w:rsid w:val="00617C49"/>
    <w:rsid w:val="0063274B"/>
    <w:rsid w:val="00632C6F"/>
    <w:rsid w:val="00664456"/>
    <w:rsid w:val="00675BC8"/>
    <w:rsid w:val="00677F04"/>
    <w:rsid w:val="00683A11"/>
    <w:rsid w:val="007159BB"/>
    <w:rsid w:val="007434B5"/>
    <w:rsid w:val="007A471D"/>
    <w:rsid w:val="00811118"/>
    <w:rsid w:val="008315D2"/>
    <w:rsid w:val="008603DA"/>
    <w:rsid w:val="00865838"/>
    <w:rsid w:val="00882B40"/>
    <w:rsid w:val="00884FDC"/>
    <w:rsid w:val="00885E56"/>
    <w:rsid w:val="008A41AF"/>
    <w:rsid w:val="008C3D21"/>
    <w:rsid w:val="00901350"/>
    <w:rsid w:val="00912202"/>
    <w:rsid w:val="00927436"/>
    <w:rsid w:val="009433EF"/>
    <w:rsid w:val="00960292"/>
    <w:rsid w:val="00996266"/>
    <w:rsid w:val="00A2056E"/>
    <w:rsid w:val="00A65A1C"/>
    <w:rsid w:val="00A83608"/>
    <w:rsid w:val="00A9073B"/>
    <w:rsid w:val="00AD6297"/>
    <w:rsid w:val="00AF212B"/>
    <w:rsid w:val="00B36829"/>
    <w:rsid w:val="00B97CBA"/>
    <w:rsid w:val="00C0546A"/>
    <w:rsid w:val="00C13D42"/>
    <w:rsid w:val="00C22A76"/>
    <w:rsid w:val="00C323A9"/>
    <w:rsid w:val="00C44539"/>
    <w:rsid w:val="00C60E7A"/>
    <w:rsid w:val="00C71762"/>
    <w:rsid w:val="00C91575"/>
    <w:rsid w:val="00CA0842"/>
    <w:rsid w:val="00CA6676"/>
    <w:rsid w:val="00CB12E4"/>
    <w:rsid w:val="00D11853"/>
    <w:rsid w:val="00D73378"/>
    <w:rsid w:val="00DE4B58"/>
    <w:rsid w:val="00E0423B"/>
    <w:rsid w:val="00E226D7"/>
    <w:rsid w:val="00E51FF3"/>
    <w:rsid w:val="00EB60CA"/>
    <w:rsid w:val="00EE21CB"/>
    <w:rsid w:val="00EF4812"/>
    <w:rsid w:val="00F41E94"/>
    <w:rsid w:val="00F43406"/>
    <w:rsid w:val="00F67645"/>
    <w:rsid w:val="00F97EB3"/>
    <w:rsid w:val="00FC4A20"/>
    <w:rsid w:val="00FF5E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9A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C09A6"/>
    <w:pPr>
      <w:tabs>
        <w:tab w:val="center" w:pos="4320"/>
        <w:tab w:val="right" w:pos="8640"/>
      </w:tabs>
    </w:pPr>
  </w:style>
  <w:style w:type="character" w:customStyle="1" w:styleId="HeaderChar">
    <w:name w:val="Header Char"/>
    <w:basedOn w:val="DefaultParagraphFont"/>
    <w:link w:val="Header"/>
    <w:uiPriority w:val="99"/>
    <w:semiHidden/>
    <w:rsid w:val="00621C32"/>
    <w:rPr>
      <w:rFonts w:ascii="Arial" w:hAnsi="Arial" w:cs="Arial"/>
      <w:sz w:val="20"/>
      <w:szCs w:val="20"/>
    </w:rPr>
  </w:style>
  <w:style w:type="paragraph" w:styleId="Footer">
    <w:name w:val="footer"/>
    <w:basedOn w:val="Normal"/>
    <w:link w:val="FooterChar"/>
    <w:uiPriority w:val="99"/>
    <w:rsid w:val="001C09A6"/>
    <w:pPr>
      <w:tabs>
        <w:tab w:val="center" w:pos="4320"/>
        <w:tab w:val="right" w:pos="8640"/>
      </w:tabs>
    </w:pPr>
  </w:style>
  <w:style w:type="character" w:customStyle="1" w:styleId="FooterChar">
    <w:name w:val="Footer Char"/>
    <w:basedOn w:val="DefaultParagraphFont"/>
    <w:link w:val="Footer"/>
    <w:uiPriority w:val="99"/>
    <w:locked/>
    <w:rsid w:val="004D198A"/>
    <w:rPr>
      <w:rFonts w:ascii="Arial" w:hAnsi="Arial" w:cs="Arial"/>
    </w:rPr>
  </w:style>
  <w:style w:type="table" w:styleId="TableGrid">
    <w:name w:val="Table Grid"/>
    <w:basedOn w:val="TableNormal"/>
    <w:uiPriority w:val="99"/>
    <w:rsid w:val="001C09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C09A6"/>
    <w:rPr>
      <w:rFonts w:ascii="Tahoma" w:hAnsi="Tahoma" w:cs="Tahoma"/>
      <w:sz w:val="16"/>
      <w:szCs w:val="16"/>
    </w:rPr>
  </w:style>
  <w:style w:type="character" w:customStyle="1" w:styleId="BalloonTextChar">
    <w:name w:val="Balloon Text Char"/>
    <w:basedOn w:val="DefaultParagraphFont"/>
    <w:link w:val="BalloonText"/>
    <w:uiPriority w:val="99"/>
    <w:semiHidden/>
    <w:rsid w:val="00621C32"/>
    <w:rPr>
      <w:rFonts w:cs="Arial"/>
      <w:sz w:val="0"/>
      <w:szCs w:val="0"/>
    </w:rPr>
  </w:style>
  <w:style w:type="character" w:styleId="PageNumber">
    <w:name w:val="page number"/>
    <w:basedOn w:val="DefaultParagraphFont"/>
    <w:uiPriority w:val="99"/>
    <w:rsid w:val="001C09A6"/>
    <w:rPr>
      <w:rFonts w:cs="Times New Roman"/>
    </w:rPr>
  </w:style>
  <w:style w:type="character" w:styleId="Hyperlink">
    <w:name w:val="Hyperlink"/>
    <w:basedOn w:val="DefaultParagraphFont"/>
    <w:uiPriority w:val="99"/>
    <w:rsid w:val="00A2056E"/>
    <w:rPr>
      <w:rFonts w:cs="Times New Roman"/>
      <w:color w:val="0000FF"/>
      <w:u w:val="single"/>
    </w:rPr>
  </w:style>
  <w:style w:type="paragraph" w:styleId="NormalWeb">
    <w:name w:val="Normal (Web)"/>
    <w:basedOn w:val="Normal"/>
    <w:uiPriority w:val="99"/>
    <w:rsid w:val="000E4245"/>
    <w:pPr>
      <w:spacing w:before="100" w:beforeAutospacing="1" w:after="100" w:afterAutospacing="1"/>
    </w:pPr>
    <w:rPr>
      <w:rFonts w:ascii="Times New Roman" w:hAnsi="Times New Roman" w:cs="Times New Roman"/>
    </w:rPr>
  </w:style>
  <w:style w:type="character" w:styleId="FollowedHyperlink">
    <w:name w:val="FollowedHyperlink"/>
    <w:basedOn w:val="DefaultParagraphFont"/>
    <w:uiPriority w:val="99"/>
    <w:rsid w:val="008603DA"/>
    <w:rPr>
      <w:rFonts w:cs="Times New Roman"/>
      <w:color w:val="800080"/>
      <w:u w:val="single"/>
    </w:rPr>
  </w:style>
  <w:style w:type="paragraph" w:styleId="ListParagraph">
    <w:name w:val="List Paragraph"/>
    <w:basedOn w:val="Normal"/>
    <w:uiPriority w:val="99"/>
    <w:qFormat/>
    <w:rsid w:val="00387676"/>
    <w:pPr>
      <w:ind w:left="720"/>
      <w:contextualSpacing/>
    </w:pPr>
  </w:style>
  <w:style w:type="character" w:styleId="CommentReference">
    <w:name w:val="annotation reference"/>
    <w:basedOn w:val="DefaultParagraphFont"/>
    <w:uiPriority w:val="99"/>
    <w:semiHidden/>
    <w:rsid w:val="00E226D7"/>
    <w:rPr>
      <w:rFonts w:cs="Times New Roman"/>
      <w:sz w:val="16"/>
      <w:szCs w:val="16"/>
    </w:rPr>
  </w:style>
  <w:style w:type="paragraph" w:styleId="CommentText">
    <w:name w:val="annotation text"/>
    <w:basedOn w:val="Normal"/>
    <w:link w:val="CommentTextChar"/>
    <w:uiPriority w:val="99"/>
    <w:semiHidden/>
    <w:rsid w:val="00E226D7"/>
  </w:style>
  <w:style w:type="character" w:customStyle="1" w:styleId="CommentTextChar">
    <w:name w:val="Comment Text Char"/>
    <w:basedOn w:val="DefaultParagraphFont"/>
    <w:link w:val="CommentText"/>
    <w:uiPriority w:val="99"/>
    <w:semiHidden/>
    <w:rsid w:val="00621C32"/>
    <w:rPr>
      <w:rFonts w:ascii="Arial" w:hAnsi="Arial" w:cs="Arial"/>
      <w:sz w:val="20"/>
      <w:szCs w:val="20"/>
    </w:rPr>
  </w:style>
  <w:style w:type="paragraph" w:styleId="CommentSubject">
    <w:name w:val="annotation subject"/>
    <w:basedOn w:val="CommentText"/>
    <w:next w:val="CommentText"/>
    <w:link w:val="CommentSubjectChar"/>
    <w:uiPriority w:val="99"/>
    <w:semiHidden/>
    <w:rsid w:val="00E226D7"/>
    <w:rPr>
      <w:b/>
      <w:bCs/>
    </w:rPr>
  </w:style>
  <w:style w:type="character" w:customStyle="1" w:styleId="CommentSubjectChar">
    <w:name w:val="Comment Subject Char"/>
    <w:basedOn w:val="CommentTextChar"/>
    <w:link w:val="CommentSubject"/>
    <w:uiPriority w:val="99"/>
    <w:semiHidden/>
    <w:rsid w:val="00621C32"/>
    <w:rPr>
      <w:b/>
      <w:bCs/>
    </w:rPr>
  </w:style>
</w:styles>
</file>

<file path=word/webSettings.xml><?xml version="1.0" encoding="utf-8"?>
<w:webSettings xmlns:r="http://schemas.openxmlformats.org/officeDocument/2006/relationships" xmlns:w="http://schemas.openxmlformats.org/wordprocessingml/2006/main">
  <w:divs>
    <w:div w:id="1492719345">
      <w:marLeft w:val="0"/>
      <w:marRight w:val="0"/>
      <w:marTop w:val="0"/>
      <w:marBottom w:val="0"/>
      <w:divBdr>
        <w:top w:val="none" w:sz="0" w:space="0" w:color="auto"/>
        <w:left w:val="none" w:sz="0" w:space="0" w:color="auto"/>
        <w:bottom w:val="none" w:sz="0" w:space="0" w:color="auto"/>
        <w:right w:val="none" w:sz="0" w:space="0" w:color="auto"/>
      </w:divBdr>
    </w:div>
    <w:div w:id="1492719346">
      <w:marLeft w:val="0"/>
      <w:marRight w:val="0"/>
      <w:marTop w:val="0"/>
      <w:marBottom w:val="0"/>
      <w:divBdr>
        <w:top w:val="none" w:sz="0" w:space="0" w:color="auto"/>
        <w:left w:val="none" w:sz="0" w:space="0" w:color="auto"/>
        <w:bottom w:val="none" w:sz="0" w:space="0" w:color="auto"/>
        <w:right w:val="none" w:sz="0" w:space="0" w:color="auto"/>
      </w:divBdr>
    </w:div>
    <w:div w:id="1492719348">
      <w:marLeft w:val="0"/>
      <w:marRight w:val="0"/>
      <w:marTop w:val="0"/>
      <w:marBottom w:val="0"/>
      <w:divBdr>
        <w:top w:val="none" w:sz="0" w:space="0" w:color="auto"/>
        <w:left w:val="none" w:sz="0" w:space="0" w:color="auto"/>
        <w:bottom w:val="none" w:sz="0" w:space="0" w:color="auto"/>
        <w:right w:val="none" w:sz="0" w:space="0" w:color="auto"/>
      </w:divBdr>
    </w:div>
    <w:div w:id="1492719349">
      <w:marLeft w:val="0"/>
      <w:marRight w:val="0"/>
      <w:marTop w:val="0"/>
      <w:marBottom w:val="0"/>
      <w:divBdr>
        <w:top w:val="none" w:sz="0" w:space="0" w:color="auto"/>
        <w:left w:val="none" w:sz="0" w:space="0" w:color="auto"/>
        <w:bottom w:val="none" w:sz="0" w:space="0" w:color="auto"/>
        <w:right w:val="none" w:sz="0" w:space="0" w:color="auto"/>
      </w:divBdr>
    </w:div>
    <w:div w:id="1492719350">
      <w:marLeft w:val="0"/>
      <w:marRight w:val="0"/>
      <w:marTop w:val="0"/>
      <w:marBottom w:val="0"/>
      <w:divBdr>
        <w:top w:val="none" w:sz="0" w:space="0" w:color="auto"/>
        <w:left w:val="none" w:sz="0" w:space="0" w:color="auto"/>
        <w:bottom w:val="none" w:sz="0" w:space="0" w:color="auto"/>
        <w:right w:val="none" w:sz="0" w:space="0" w:color="auto"/>
      </w:divBdr>
    </w:div>
    <w:div w:id="1492719351">
      <w:marLeft w:val="0"/>
      <w:marRight w:val="0"/>
      <w:marTop w:val="0"/>
      <w:marBottom w:val="0"/>
      <w:divBdr>
        <w:top w:val="none" w:sz="0" w:space="0" w:color="auto"/>
        <w:left w:val="none" w:sz="0" w:space="0" w:color="auto"/>
        <w:bottom w:val="none" w:sz="0" w:space="0" w:color="auto"/>
        <w:right w:val="none" w:sz="0" w:space="0" w:color="auto"/>
      </w:divBdr>
      <w:divsChild>
        <w:div w:id="1492719347">
          <w:marLeft w:val="0"/>
          <w:marRight w:val="0"/>
          <w:marTop w:val="5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imgres?imgurl=http://oernst.f5lvg.free.fr/liver/image%20hemoc%204.jpg&amp;imgrefurl=http://oernst.f5lvg.free.fr/liver/iron.html&amp;usg=__YIMd4DP1ftk6pgys06ILsEKgCZI=&amp;h=643&amp;w=824&amp;sz=231&amp;hl=en&amp;start=1&amp;sig2=oy2rMfaNgFHVdNLSKTcRrw&amp;tbnid=wXLFbrAiWSLsHM:&amp;tbnh=112&amp;tbnw=144&amp;prev=/images?q=signal+intensity+ratio+liver&amp;gbv=2&amp;hl=en&amp;ei=0aTfSaLsH46HmQeOx5m1D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gestive.niddk.nih.gov/ddiseases/pubs/hemochromatosis/index.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521</Words>
  <Characters>2970</Characters>
  <Application>Microsoft Office Word</Application>
  <DocSecurity>0</DocSecurity>
  <Lines>24</Lines>
  <Paragraphs>6</Paragraphs>
  <ScaleCrop>false</ScaleCrop>
  <Company>Texas Instruments</Company>
  <LinksUpToDate>false</LinksUpToDate>
  <CharactersWithSpaces>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Stuff</dc:title>
  <dc:subject/>
  <dc:creator>Rob Kimball</dc:creator>
  <cp:keywords/>
  <dc:description/>
  <cp:lastModifiedBy>ROB KIMBALL</cp:lastModifiedBy>
  <cp:revision>3</cp:revision>
  <cp:lastPrinted>2008-05-10T15:13:00Z</cp:lastPrinted>
  <dcterms:created xsi:type="dcterms:W3CDTF">2009-06-28T01:13:00Z</dcterms:created>
  <dcterms:modified xsi:type="dcterms:W3CDTF">2009-06-28T01:20:00Z</dcterms:modified>
</cp:coreProperties>
</file>